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Article _______________</w:t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Section ______________</w:t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Now Reads:</w:t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 Delete</w:t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 Add New to Read</w:t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 Amend to Read</w:t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 Read:</w:t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Reason for Change:</w:t>
      </w:r>
    </w:p>
    <w:p w:rsidR="00000000" w:rsidDel="00000000" w:rsidP="00000000" w:rsidRDefault="00000000" w:rsidRPr="00000000" w14:paraId="00000023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Submitted By:</w:t>
      </w:r>
    </w:p>
    <w:p w:rsidR="00000000" w:rsidDel="00000000" w:rsidP="00000000" w:rsidRDefault="00000000" w:rsidRPr="00000000" w14:paraId="00000029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D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GGC Member:</w:t>
      </w:r>
    </w:p>
    <w:p w:rsidR="00000000" w:rsidDel="00000000" w:rsidP="00000000" w:rsidRDefault="00000000" w:rsidRPr="00000000" w14:paraId="0000002E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jc w:val="center"/>
      <w:rPr>
        <w:sz w:val="23"/>
        <w:szCs w:val="23"/>
      </w:rPr>
    </w:pPr>
    <w:r w:rsidDel="00000000" w:rsidR="00000000" w:rsidRPr="00000000">
      <w:rPr>
        <w:sz w:val="23"/>
        <w:szCs w:val="23"/>
        <w:rtl w:val="0"/>
      </w:rPr>
      <w:t xml:space="preserve">All proposals due to Diane Foxworthy at </w:t>
    </w:r>
    <w:hyperlink r:id="rId1">
      <w:r w:rsidDel="00000000" w:rsidR="00000000" w:rsidRPr="00000000">
        <w:rPr>
          <w:color w:val="1155cc"/>
          <w:sz w:val="23"/>
          <w:szCs w:val="23"/>
          <w:u w:val="single"/>
          <w:rtl w:val="0"/>
        </w:rPr>
        <w:t xml:space="preserve">crzy4bkslib@gmail.com</w:t>
      </w:r>
    </w:hyperlink>
    <w:r w:rsidDel="00000000" w:rsidR="00000000" w:rsidRPr="00000000">
      <w:rPr>
        <w:sz w:val="23"/>
        <w:szCs w:val="23"/>
        <w:rtl w:val="0"/>
      </w:rPr>
      <w:t xml:space="preserve"> no later than February 19, 2026.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2026 Grand Bethel Bylaw Proposal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rzy4bksli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